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none" w:sz="0" w:space="0" w:color="auto"/>
          <w:insideV w:val="none" w:sz="0" w:space="0" w:color="auto"/>
        </w:tblBorders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A3B90" w:rsidRPr="00442B65" w14:paraId="6B577600" w14:textId="77777777" w:rsidTr="00DF2C3C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031C2F83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2A3B90" w:rsidRPr="00442B65" w14:paraId="331A29D1" w14:textId="77777777" w:rsidTr="00DF2C3C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1556CDCC" w14:textId="77777777" w:rsidR="002A3B90" w:rsidRPr="00442B65" w:rsidRDefault="002A3B90" w:rsidP="00CD255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E21D5F7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2F55BC49" w14:textId="77777777" w:rsidTr="00DF2C3C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0DC2FC8A" w14:textId="67FD9F67" w:rsidR="002A3B90" w:rsidRPr="00334764" w:rsidRDefault="002A3B90" w:rsidP="0065734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pct40" w:color="D0CECE" w:themeColor="background2" w:themeShade="E6" w:fill="auto"/>
          </w:tcPr>
          <w:p w14:paraId="0C5EE3CC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4894A83F" w14:textId="77777777" w:rsidTr="00DF2C3C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072518AF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530B516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289FD9B8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77041B0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2A3B90" w:rsidRPr="00442B65" w14:paraId="55EC3C04" w14:textId="77777777" w:rsidTr="00DF2C3C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0A075248" w14:textId="5AD13A0A" w:rsidR="002A3B90" w:rsidRPr="0068095B" w:rsidRDefault="002A3B90" w:rsidP="00657344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 w:rsidR="00657344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Extinção por conclusão do contrato ou decisão judicial</w:t>
            </w:r>
          </w:p>
        </w:tc>
      </w:tr>
      <w:tr w:rsidR="002A3B90" w:rsidRPr="00442B65" w14:paraId="69E6BB7B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2C75791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4774805" w14:textId="3CFCD64C" w:rsidR="002A3B90" w:rsidRPr="0068095B" w:rsidRDefault="00657344" w:rsidP="006573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Emissão do termo de recebimento definitivo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F12A256" w14:textId="614F66B6" w:rsidR="002A3B90" w:rsidRPr="0068095B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EA91C3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6589" w:rsidRPr="00442B65" w14:paraId="40AA3158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F417428" w14:textId="7F2FC586" w:rsidR="002A6589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D11EAAF" w14:textId="7C356A4B" w:rsidR="002A6589" w:rsidRDefault="00657344" w:rsidP="006573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Cópia de decisão judicial, anulando ou revogando o contrato, se for o caso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36538B5" w14:textId="0D941D18" w:rsidR="002A6589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D3D386B" w14:textId="77777777" w:rsidR="002A6589" w:rsidRPr="0068095B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AAB7249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F60E9B" w14:textId="7C205535" w:rsidR="002A3B90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09B317D" w14:textId="3312B4C7" w:rsidR="002A3B90" w:rsidRDefault="00657344" w:rsidP="00815B8F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quitação dos encargos trabalhistas, sociais</w:t>
            </w:r>
            <w:r w:rsidR="00815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previdenciários e fiscais decorrentes da execução do contrato, nos casos de contratações continuadas com dedicação exclusiva de mão de obra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C678CD" w14:textId="6BE7A065" w:rsidR="002A3B90" w:rsidRDefault="0028276F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5153BFF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685C917D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4E4C53C1" w14:textId="2E8C5E5B" w:rsidR="002A3B90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6135E8E8" w14:textId="00B05987" w:rsidR="002A3B90" w:rsidRDefault="00657344" w:rsidP="008F05C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pagamento pela contratada das verbas rescisórias ou de que os empregados serão realocados em outra atividade de prestação de serviços, sem que ocorr</w:t>
            </w:r>
            <w:r w:rsidR="00B77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a interrupção do contrato de trabalho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C34E54B" w14:textId="5E4ED176" w:rsidR="002A3B90" w:rsidRDefault="00DF2C3C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44D665B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3B90" w:rsidRPr="00442B65" w14:paraId="33948780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897A0D6" w14:textId="2B955049" w:rsidR="002A3B90" w:rsidRPr="0068095B" w:rsidRDefault="00DF2C3C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0C01DFFA" w14:textId="7BE62736" w:rsidR="002A3B90" w:rsidRDefault="00B77A85" w:rsidP="00CD255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Comprovante de devolução da garantia, com as respectivas atualizações, se do tipo “caução em dinheiro”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EFA3012" w14:textId="38817C89" w:rsidR="002A3B90" w:rsidRDefault="00DF2C3C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F12E980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F2C3C" w:rsidRPr="00442B65" w14:paraId="5CAB1FBD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213B153" w14:textId="1CE4A5AB" w:rsidR="00DF2C3C" w:rsidRDefault="00DF2C3C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886B509" w14:textId="5F8E3D55" w:rsidR="00DF2C3C" w:rsidRDefault="00DF2C3C" w:rsidP="00DF2C3C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e trâmite da extinção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2DC0C15" w14:textId="6ED3C556" w:rsidR="00DF2C3C" w:rsidRDefault="00DF2C3C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EC87E89" w14:textId="77777777" w:rsidR="00DF2C3C" w:rsidRPr="0068095B" w:rsidRDefault="00DF2C3C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5413F0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F5B90C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EB8D011" w14:textId="1EA22FC2" w:rsidR="004E1738" w:rsidRPr="00F1088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108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BASE LEGAL</w:t>
      </w:r>
    </w:p>
    <w:p w14:paraId="1F7F09CB" w14:textId="7A589C70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b/>
          <w:sz w:val="18"/>
          <w:szCs w:val="18"/>
        </w:rPr>
        <w:t>Legislação Estadual:</w:t>
      </w:r>
    </w:p>
    <w:p w14:paraId="4055E235" w14:textId="01CACFC1" w:rsidR="00D22EF2" w:rsidRPr="00F10888" w:rsidRDefault="004E1738" w:rsidP="00F10888">
      <w:pPr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proofErr w:type="spellStart"/>
      <w:r w:rsidRPr="00F10888">
        <w:rPr>
          <w:rFonts w:ascii="Arial" w:hAnsi="Arial" w:cs="Arial"/>
          <w:sz w:val="18"/>
          <w:szCs w:val="18"/>
        </w:rPr>
        <w:t>Art</w:t>
      </w:r>
      <w:r w:rsidR="00815B8F">
        <w:rPr>
          <w:rFonts w:ascii="Arial" w:hAnsi="Arial" w:cs="Arial"/>
          <w:sz w:val="18"/>
          <w:szCs w:val="18"/>
        </w:rPr>
        <w:t>s</w:t>
      </w:r>
      <w:proofErr w:type="spellEnd"/>
      <w:r w:rsidRPr="00F10888">
        <w:rPr>
          <w:rFonts w:ascii="Arial" w:hAnsi="Arial" w:cs="Arial"/>
          <w:sz w:val="18"/>
          <w:szCs w:val="18"/>
        </w:rPr>
        <w:t xml:space="preserve">. </w:t>
      </w:r>
      <w:r w:rsidR="00815B8F">
        <w:rPr>
          <w:rFonts w:ascii="Arial" w:hAnsi="Arial" w:cs="Arial"/>
          <w:sz w:val="18"/>
          <w:szCs w:val="18"/>
        </w:rPr>
        <w:t xml:space="preserve">56, §5º, 72 e </w:t>
      </w:r>
      <w:r w:rsidR="00463834">
        <w:rPr>
          <w:rFonts w:ascii="Arial" w:hAnsi="Arial" w:cs="Arial"/>
          <w:sz w:val="18"/>
          <w:szCs w:val="18"/>
        </w:rPr>
        <w:t>79</w:t>
      </w:r>
      <w:r w:rsidRPr="00F10888">
        <w:rPr>
          <w:rFonts w:ascii="Arial" w:hAnsi="Arial" w:cs="Arial"/>
          <w:sz w:val="18"/>
          <w:szCs w:val="18"/>
        </w:rPr>
        <w:t xml:space="preserve"> da Portaria </w:t>
      </w:r>
      <w:r w:rsidR="008E6DC8" w:rsidRPr="00F10888">
        <w:rPr>
          <w:rFonts w:ascii="Arial" w:hAnsi="Arial" w:cs="Arial"/>
          <w:sz w:val="18"/>
          <w:szCs w:val="18"/>
        </w:rPr>
        <w:t xml:space="preserve">SEGER/PGE/SECONT </w:t>
      </w:r>
      <w:r w:rsidRPr="00F10888">
        <w:rPr>
          <w:rFonts w:ascii="Arial" w:hAnsi="Arial" w:cs="Arial"/>
          <w:sz w:val="18"/>
          <w:szCs w:val="18"/>
        </w:rPr>
        <w:t xml:space="preserve">nº. </w:t>
      </w:r>
      <w:r w:rsidR="000E1204" w:rsidRPr="00F10888">
        <w:rPr>
          <w:rFonts w:ascii="Arial" w:hAnsi="Arial" w:cs="Arial"/>
          <w:sz w:val="18"/>
          <w:szCs w:val="18"/>
        </w:rPr>
        <w:t>049-R/2010.</w:t>
      </w:r>
    </w:p>
    <w:p w14:paraId="28965EF6" w14:textId="77777777" w:rsidR="00F10888" w:rsidRDefault="00F1088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14:paraId="708FEA10" w14:textId="77777777" w:rsidR="00463834" w:rsidRDefault="00463834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6FE57943" w14:textId="38C2AEB1" w:rsidR="00765E19" w:rsidRPr="00F1088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Style w:val="bold"/>
          <w:rFonts w:ascii="Arial" w:hAnsi="Arial" w:cs="Arial"/>
          <w:bCs/>
          <w:sz w:val="18"/>
          <w:szCs w:val="18"/>
        </w:rPr>
        <w:t xml:space="preserve">Elaboração: </w:t>
      </w:r>
      <w:proofErr w:type="gramStart"/>
      <w:r w:rsidR="00F10888" w:rsidRPr="00F10888">
        <w:rPr>
          <w:rStyle w:val="bold"/>
          <w:rFonts w:ascii="Arial" w:hAnsi="Arial" w:cs="Arial"/>
          <w:bCs/>
          <w:sz w:val="18"/>
          <w:szCs w:val="18"/>
        </w:rPr>
        <w:t>Novembro</w:t>
      </w:r>
      <w:proofErr w:type="gramEnd"/>
      <w:r w:rsidR="00F10888" w:rsidRPr="00F10888">
        <w:rPr>
          <w:rStyle w:val="bold"/>
          <w:rFonts w:ascii="Arial" w:hAnsi="Arial" w:cs="Arial"/>
          <w:bCs/>
          <w:sz w:val="18"/>
          <w:szCs w:val="18"/>
        </w:rPr>
        <w:t>/</w:t>
      </w:r>
      <w:r w:rsidR="00765E19" w:rsidRPr="00F10888">
        <w:rPr>
          <w:rStyle w:val="bold"/>
          <w:rFonts w:ascii="Arial" w:hAnsi="Arial" w:cs="Arial"/>
          <w:bCs/>
          <w:sz w:val="18"/>
          <w:szCs w:val="18"/>
        </w:rPr>
        <w:t>2018</w:t>
      </w:r>
    </w:p>
    <w:sectPr w:rsidR="00765E19" w:rsidRPr="00F10888" w:rsidSect="008E60D3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03CF9"/>
    <w:rsid w:val="0001565D"/>
    <w:rsid w:val="000656AD"/>
    <w:rsid w:val="00083D21"/>
    <w:rsid w:val="000D0299"/>
    <w:rsid w:val="000D167C"/>
    <w:rsid w:val="000E1204"/>
    <w:rsid w:val="00117328"/>
    <w:rsid w:val="00122C29"/>
    <w:rsid w:val="001509AD"/>
    <w:rsid w:val="00154674"/>
    <w:rsid w:val="00155ADF"/>
    <w:rsid w:val="001B303C"/>
    <w:rsid w:val="001E0FD5"/>
    <w:rsid w:val="001E2045"/>
    <w:rsid w:val="001F4B78"/>
    <w:rsid w:val="002009FC"/>
    <w:rsid w:val="00241CAD"/>
    <w:rsid w:val="00247F81"/>
    <w:rsid w:val="00271D33"/>
    <w:rsid w:val="00275EF2"/>
    <w:rsid w:val="0028276F"/>
    <w:rsid w:val="00295978"/>
    <w:rsid w:val="002A3B90"/>
    <w:rsid w:val="002A6589"/>
    <w:rsid w:val="002B0AA6"/>
    <w:rsid w:val="002B3A86"/>
    <w:rsid w:val="003048EB"/>
    <w:rsid w:val="00311776"/>
    <w:rsid w:val="003424E4"/>
    <w:rsid w:val="003428F8"/>
    <w:rsid w:val="003449C8"/>
    <w:rsid w:val="00346A53"/>
    <w:rsid w:val="00383408"/>
    <w:rsid w:val="003A3912"/>
    <w:rsid w:val="003B34DB"/>
    <w:rsid w:val="003B3A32"/>
    <w:rsid w:val="003F728D"/>
    <w:rsid w:val="00401E8F"/>
    <w:rsid w:val="00406174"/>
    <w:rsid w:val="00442B65"/>
    <w:rsid w:val="00444DFF"/>
    <w:rsid w:val="00446691"/>
    <w:rsid w:val="00455608"/>
    <w:rsid w:val="00463834"/>
    <w:rsid w:val="004E1738"/>
    <w:rsid w:val="00552668"/>
    <w:rsid w:val="005C18C5"/>
    <w:rsid w:val="005D3C74"/>
    <w:rsid w:val="005F03CE"/>
    <w:rsid w:val="006440B6"/>
    <w:rsid w:val="00644CCF"/>
    <w:rsid w:val="006508FC"/>
    <w:rsid w:val="00657344"/>
    <w:rsid w:val="00666961"/>
    <w:rsid w:val="0068095B"/>
    <w:rsid w:val="006A1E3A"/>
    <w:rsid w:val="006C08AC"/>
    <w:rsid w:val="006C0E95"/>
    <w:rsid w:val="006F2A2D"/>
    <w:rsid w:val="00707F03"/>
    <w:rsid w:val="00731978"/>
    <w:rsid w:val="00742486"/>
    <w:rsid w:val="00750E6F"/>
    <w:rsid w:val="00765E19"/>
    <w:rsid w:val="00774F29"/>
    <w:rsid w:val="007768AC"/>
    <w:rsid w:val="007E2E97"/>
    <w:rsid w:val="007F6D1E"/>
    <w:rsid w:val="00801B04"/>
    <w:rsid w:val="008074C9"/>
    <w:rsid w:val="00815B8F"/>
    <w:rsid w:val="008818D2"/>
    <w:rsid w:val="008829CC"/>
    <w:rsid w:val="00885C28"/>
    <w:rsid w:val="008918D8"/>
    <w:rsid w:val="008C06C2"/>
    <w:rsid w:val="008D2241"/>
    <w:rsid w:val="008E60D3"/>
    <w:rsid w:val="008E6DC8"/>
    <w:rsid w:val="008F05C5"/>
    <w:rsid w:val="00903E5E"/>
    <w:rsid w:val="00907C34"/>
    <w:rsid w:val="00912F5A"/>
    <w:rsid w:val="00970AA2"/>
    <w:rsid w:val="00972627"/>
    <w:rsid w:val="009A3005"/>
    <w:rsid w:val="009A36E5"/>
    <w:rsid w:val="009C4618"/>
    <w:rsid w:val="009F28E2"/>
    <w:rsid w:val="009F5AB0"/>
    <w:rsid w:val="00A0040C"/>
    <w:rsid w:val="00A36224"/>
    <w:rsid w:val="00A86711"/>
    <w:rsid w:val="00A936B7"/>
    <w:rsid w:val="00AA68C8"/>
    <w:rsid w:val="00AA7596"/>
    <w:rsid w:val="00AB33E2"/>
    <w:rsid w:val="00AD7F15"/>
    <w:rsid w:val="00B160A4"/>
    <w:rsid w:val="00B30D3C"/>
    <w:rsid w:val="00B33958"/>
    <w:rsid w:val="00B4327E"/>
    <w:rsid w:val="00B46F8B"/>
    <w:rsid w:val="00B51796"/>
    <w:rsid w:val="00B77A85"/>
    <w:rsid w:val="00BA21D1"/>
    <w:rsid w:val="00BC4E06"/>
    <w:rsid w:val="00BE5599"/>
    <w:rsid w:val="00C041E9"/>
    <w:rsid w:val="00C042AF"/>
    <w:rsid w:val="00C22DEE"/>
    <w:rsid w:val="00C31B42"/>
    <w:rsid w:val="00C422AA"/>
    <w:rsid w:val="00C54853"/>
    <w:rsid w:val="00C71CB4"/>
    <w:rsid w:val="00CB70F3"/>
    <w:rsid w:val="00CE7DE1"/>
    <w:rsid w:val="00CF5B8D"/>
    <w:rsid w:val="00D22EF2"/>
    <w:rsid w:val="00D37C56"/>
    <w:rsid w:val="00D41B44"/>
    <w:rsid w:val="00D57305"/>
    <w:rsid w:val="00D76937"/>
    <w:rsid w:val="00DB00E4"/>
    <w:rsid w:val="00DC5E42"/>
    <w:rsid w:val="00DF2C3C"/>
    <w:rsid w:val="00E0444B"/>
    <w:rsid w:val="00E10A49"/>
    <w:rsid w:val="00E8636B"/>
    <w:rsid w:val="00EC3D57"/>
    <w:rsid w:val="00F10888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6A80-95C2-40DE-B261-FE0850C7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6</cp:revision>
  <cp:lastPrinted>2017-08-07T18:12:00Z</cp:lastPrinted>
  <dcterms:created xsi:type="dcterms:W3CDTF">2018-12-05T15:50:00Z</dcterms:created>
  <dcterms:modified xsi:type="dcterms:W3CDTF">2018-12-05T16:38:00Z</dcterms:modified>
</cp:coreProperties>
</file>